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e"/>
        <w:tblW w:w="14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4200"/>
        <w:gridCol w:w="2317"/>
        <w:gridCol w:w="2901"/>
        <w:gridCol w:w="1"/>
        <w:gridCol w:w="4598"/>
      </w:tblGrid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8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Наименование услуг/ 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программных модулей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Цена лицензионного платежа за пользователя / месяц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Цена лицензионного фиксированного платежа за месяц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Цена аутсорсинговой услуги за месяц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Кадровый учет (табельный учет, кадровое движение сотрудника)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199 руб/ пользователь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1 900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4 5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 руб/организация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Графики (отпусков, рабочего времени, объектного учета)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59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 пользователь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2500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Служебные командировки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99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 пользователь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900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3 500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Контрагенты (договоры с покупателями, продавцами, агентские, договоры ГПХ, акты, платежные поручения)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159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 пользователь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1 500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7 500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Индивидуальные предприниматели (учет предпринимательской деятельности, налоговая отчетность, личный кабинет)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1 500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Информационный сервис пользовательского  обмена информацией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59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 пользователь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500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руб/модуль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Техническая поддержка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Доработки ПО для Заказчика</w:t>
            </w:r>
          </w:p>
        </w:tc>
        <w:tc>
          <w:tcPr>
            <w:tcW w:w="5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 1 900 руб./час/специалист</w:t>
            </w:r>
          </w:p>
        </w:tc>
        <w:tc>
          <w:tcPr>
            <w:tcW w:w="45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Первоначальный запуск</w:t>
            </w:r>
          </w:p>
        </w:tc>
        <w:tc>
          <w:tcPr>
            <w:tcW w:w="5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 39 000 руб./организация</w:t>
            </w:r>
          </w:p>
        </w:tc>
        <w:tc>
          <w:tcPr>
            <w:tcW w:w="45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Регистрационные действия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 349 руб./действие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Ведение бухгалтерского и налогового учета ООО, АО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 4 800 руб./организация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Восстановление учета</w:t>
            </w:r>
          </w:p>
        </w:tc>
        <w:tc>
          <w:tcPr>
            <w:tcW w:w="2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 9 900 руб./организация</w:t>
            </w:r>
          </w:p>
        </w:tc>
      </w:tr>
      <w:tr>
        <w:trPr/>
        <w:tc>
          <w:tcPr>
            <w:tcW w:w="1456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Окончательный расчет стоимости лицензионного платежа / услуг определяется в зависимости от численности пользователей,  вида деятельности и особенностей учета Заказчика. Стоимость услуг/лицензионного платежа фиксируется в лицензионном договоре / в договоре на оказание услуг.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0" w:top="1174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4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Утверждено:</w:t>
    </w:r>
  </w:p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Генеральный директор АО «ЭкспертФинанс»</w:t>
    </w:r>
  </w:p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 Гигирев Е.Н.</w:t>
    </w:r>
  </w:p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«____» _______________2024 г. </w:t>
    </w:r>
  </w:p>
  <w:p>
    <w:pPr>
      <w:pStyle w:val="Style24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4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ЦЕНЫ НА ПРОГРАММНЫЙ ПРОДУКТ / КАДРОВЫЕ И БУХГАЛТЕРСКИЕ УСЛУГИ</w:t>
    </w:r>
  </w:p>
  <w:p>
    <w:pPr>
      <w:pStyle w:val="Style24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e505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e5055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Header"/>
    <w:basedOn w:val="Normal"/>
    <w:uiPriority w:val="99"/>
    <w:unhideWhenUsed/>
    <w:rsid w:val="004e50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4e50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4156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829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5275-FEC2-4AF3-9546-22544922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LibreOffice/6.1.4.2$Windows_X86_64 LibreOffice_project/9d0f32d1f0b509096fd65e0d4bec26ddd1938fd3</Application>
  <Pages>1</Pages>
  <Words>235</Words>
  <Characters>1544</Characters>
  <CharactersWithSpaces>1721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2024-05-27T19:21:00Z</dcterms:created>
  <dc:creator>escada</dc:creator>
  <dc:description/>
  <dc:language>ru-RU</dc:language>
  <cp:lastModifiedBy/>
  <dcterms:modified xsi:type="dcterms:W3CDTF">2024-05-30T12:07:27Z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